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B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鲜地黄</w:t>
      </w: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配方颗粒</w:t>
      </w:r>
    </w:p>
    <w:p w14:paraId="58BA2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Xiandihuang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  <w:t xml:space="preserve"> PeifangKeli</w:t>
      </w:r>
    </w:p>
    <w:p w14:paraId="59081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</w:p>
    <w:p w14:paraId="6A66A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【来源】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本品为玄参科植物地黄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highlight w:val="none"/>
          <w:lang w:val="en-US" w:eastAsia="zh-CN"/>
        </w:rPr>
        <w:t>Rehmannia glutinosa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Libosch.的新鲜块根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经炮制并按标准汤剂的主要质量指标加工制成的配方颗粒。</w:t>
      </w:r>
    </w:p>
    <w:p w14:paraId="554EB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【制法】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取鲜地黄饮片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5000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g，加水煎煮，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滤过，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滤液浓缩成清膏（干浸膏出膏率为1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%～2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%），加入辅料适量，干燥(或干燥，粉碎)，再加入辅料适量，混匀，制粒，制成1000g，即得。</w:t>
      </w:r>
    </w:p>
    <w:p w14:paraId="6344F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【性状】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本品为灰黄色至灰棕色的颗粒；气微，味微甜、微苦。</w:t>
      </w:r>
    </w:p>
    <w:p w14:paraId="631C9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【鉴别】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取本品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适量，研细，取约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0.1g，加10m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甲醇，超声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处理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放冷，滤过，取滤液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作为供试品溶液。另取梓醇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对照品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、地黄苷D对照品，分别加甲醇制成每1m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含0.5mg的溶液，作为对照品溶液。照薄层色谱法（中国药典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2015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年版通则0502）试验，吸取上述供试品溶液10μ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对照品溶液5μ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，分别点于同一硅胶G薄层板上，以三氯甲烷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甲醇-水（12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1）为展开剂，展开，取出，晾干，喷以茴香醛试液，在105℃加热至斑点显色清晰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，置紫外光灯（365nm）下检视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。供试品色谱中，在与对照品色谱相应的位置上，显相同颜色的荧光斑点。</w:t>
      </w:r>
    </w:p>
    <w:p w14:paraId="23AD2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【特征图谱】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照高效液相色谱法（中国药典20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年版通则0512）测定。</w:t>
      </w:r>
    </w:p>
    <w:p w14:paraId="3CC2A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色谱条件与系统适用性试验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 xml:space="preserve"> 以十八烷基硅烷键合硅胶为填充剂（柱长为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mm，内径为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2.1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mm，粒径为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1.8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µm)；以乙腈为流动相A，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以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0.1%磷酸溶液为流动相B，按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下表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中的规定进行梯度洗脱；流速为每分钟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ml；柱温为30℃；检测波长为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nm。理论板数按地黄苷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峰计算应不低于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8000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。</w:t>
      </w:r>
    </w:p>
    <w:tbl>
      <w:tblPr>
        <w:tblStyle w:val="5"/>
        <w:tblW w:w="8163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721"/>
        <w:gridCol w:w="2721"/>
      </w:tblGrid>
      <w:tr w14:paraId="0D3FF9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A0A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时间（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分钟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72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06A4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流动相A（%）</w:t>
            </w:r>
          </w:p>
        </w:tc>
        <w:tc>
          <w:tcPr>
            <w:tcW w:w="272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0DCE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流动相B（%）</w:t>
            </w:r>
          </w:p>
        </w:tc>
      </w:tr>
      <w:tr w14:paraId="541522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auto" w:sz="4" w:space="0"/>
            </w:tcBorders>
            <w:vAlign w:val="center"/>
          </w:tcPr>
          <w:p w14:paraId="4664E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0～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721" w:type="dxa"/>
            <w:tcBorders>
              <w:top w:val="single" w:color="auto" w:sz="4" w:space="0"/>
            </w:tcBorders>
            <w:vAlign w:val="center"/>
          </w:tcPr>
          <w:p w14:paraId="58083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721" w:type="dxa"/>
            <w:tcBorders>
              <w:top w:val="single" w:color="auto" w:sz="4" w:space="0"/>
            </w:tcBorders>
            <w:vAlign w:val="center"/>
          </w:tcPr>
          <w:p w14:paraId="4C28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</w:tr>
      <w:tr w14:paraId="01B9AA9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center"/>
          </w:tcPr>
          <w:p w14:paraId="36FF9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721" w:type="dxa"/>
            <w:vAlign w:val="center"/>
          </w:tcPr>
          <w:p w14:paraId="41697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0→5</w:t>
            </w:r>
          </w:p>
        </w:tc>
        <w:tc>
          <w:tcPr>
            <w:tcW w:w="2721" w:type="dxa"/>
            <w:vAlign w:val="center"/>
          </w:tcPr>
          <w:p w14:paraId="08E9D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100→95</w:t>
            </w:r>
          </w:p>
        </w:tc>
      </w:tr>
      <w:tr w14:paraId="4FE5856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center"/>
          </w:tcPr>
          <w:p w14:paraId="7CD38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721" w:type="dxa"/>
            <w:vAlign w:val="center"/>
          </w:tcPr>
          <w:p w14:paraId="056CA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721" w:type="dxa"/>
            <w:vAlign w:val="center"/>
          </w:tcPr>
          <w:p w14:paraId="77766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  <w:tr w14:paraId="4450C0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center"/>
          </w:tcPr>
          <w:p w14:paraId="3D5F7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721" w:type="dxa"/>
            <w:vAlign w:val="center"/>
          </w:tcPr>
          <w:p w14:paraId="64A2A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5→11</w:t>
            </w:r>
          </w:p>
        </w:tc>
        <w:tc>
          <w:tcPr>
            <w:tcW w:w="2721" w:type="dxa"/>
            <w:vAlign w:val="center"/>
          </w:tcPr>
          <w:p w14:paraId="24E6E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95→89</w:t>
            </w:r>
          </w:p>
        </w:tc>
      </w:tr>
      <w:tr w14:paraId="58490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center"/>
          </w:tcPr>
          <w:p w14:paraId="744FC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721" w:type="dxa"/>
            <w:vAlign w:val="center"/>
          </w:tcPr>
          <w:p w14:paraId="27D10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11→16</w:t>
            </w:r>
          </w:p>
        </w:tc>
        <w:tc>
          <w:tcPr>
            <w:tcW w:w="2721" w:type="dxa"/>
            <w:vAlign w:val="center"/>
          </w:tcPr>
          <w:p w14:paraId="237C4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89→84</w:t>
            </w:r>
          </w:p>
        </w:tc>
      </w:tr>
      <w:tr w14:paraId="145305E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center"/>
          </w:tcPr>
          <w:p w14:paraId="2DA2B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18~35</w:t>
            </w:r>
          </w:p>
        </w:tc>
        <w:tc>
          <w:tcPr>
            <w:tcW w:w="2721" w:type="dxa"/>
            <w:vAlign w:val="center"/>
          </w:tcPr>
          <w:p w14:paraId="57434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16→30</w:t>
            </w:r>
          </w:p>
        </w:tc>
        <w:tc>
          <w:tcPr>
            <w:tcW w:w="2721" w:type="dxa"/>
            <w:vAlign w:val="center"/>
          </w:tcPr>
          <w:p w14:paraId="5A3D6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84→70</w:t>
            </w:r>
          </w:p>
        </w:tc>
      </w:tr>
    </w:tbl>
    <w:p w14:paraId="421DA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参照物溶液的制备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 xml:space="preserve"> 取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梓醇、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地黄苷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、益母草苷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对照品适量，精密称定，加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0.1%磷酸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溶液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制成每1ml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含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μg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混合对照品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溶液，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作为对照品参照物溶液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。</w:t>
      </w:r>
    </w:p>
    <w:p w14:paraId="1F5AD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供试品溶液的制备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取本品适量，研细，取约0.2g，精密称定，置具塞锥形瓶中，精密加入60%甲醇25ml，称定重量，超声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处理（功率250W，频率40kHz）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60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，放冷，再称定重量，用60%甲醇补足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减失的重量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，摇匀，滤过，精密量取续滤液10ml，浓缩至近干，残渣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加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0.1%磷酸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溶液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溶解，转移至10ml量瓶中，加0.1%磷酸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溶液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至刻度，摇匀，滤过，取续滤液，即得。</w:t>
      </w:r>
    </w:p>
    <w:p w14:paraId="19D69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测定法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 xml:space="preserve"> 分别精密吸取参照物溶液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供试品溶液各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μl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，注入液相色谱仪，测定，即得。</w:t>
      </w:r>
    </w:p>
    <w:p w14:paraId="3F0EB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供试品色谱中应呈现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个特征峰，其中3个峰与相对应的对照品参照物峰的保留时间相同。与梓醇参照物峰相对应的峰为S1峰，计算峰1~峰2与S1峰的相对保留时间，其相对保留时间应该在规定值的±10%之内，规定值为：0.47（峰1）、0.53（峰2）；与益母草苷参照物峰相对应的峰为S2峰，计算峰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~峰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与S2峰的相对保留时间，其相对保留时间应该在规定值的±10%之内，规定值为：0.90（峰5）、1.17（峰7）、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1.57（峰8）、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1.66（峰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）、1.77（峰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）。</w:t>
      </w:r>
    </w:p>
    <w:p w14:paraId="0E13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Cs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drawing>
          <wp:inline distT="0" distB="0" distL="114300" distR="114300">
            <wp:extent cx="5233035" cy="2160270"/>
            <wp:effectExtent l="0" t="0" r="5715" b="11430"/>
            <wp:docPr id="16" name="图片 16" descr="成品对照指纹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成品对照指纹图谱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303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AA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val="en-US" w:eastAsia="zh-CN"/>
        </w:rPr>
        <w:t>对照特征图谱</w:t>
      </w:r>
    </w:p>
    <w:p w14:paraId="605D7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峰3（S1）：梓醇；峰4：地黄苷D；峰6（S2）：益母草苷</w:t>
      </w:r>
    </w:p>
    <w:p w14:paraId="018C7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色谱柱：HSS T3 C18，2.1mm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×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100mm，1.8μm</w:t>
      </w:r>
    </w:p>
    <w:p w14:paraId="40543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【检查】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应符合颗粒剂项下有关的各项规定（中国药典20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年版通则0104）。</w:t>
      </w:r>
    </w:p>
    <w:p w14:paraId="206FD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【浸出物】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取本品适量，研细，取约2g，精密称定，精密加入乙醇100ml，照醇溶性浸出物测定法（中国药典20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年版通则2201）项下的热浸法测定，不得少于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10.0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%。</w:t>
      </w:r>
    </w:p>
    <w:p w14:paraId="376C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【含量测定】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梓醇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照高效液相色谱法（中国药典20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年版通则0512）测定。</w:t>
      </w:r>
    </w:p>
    <w:p w14:paraId="15168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以十八烷基硅烷键合硅胶为填充剂（柱长为100mm，内径为2.1mm，粒径为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1.8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μm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）；以甲醇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0.1%磷酸（1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99）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为流动相；流速为每分钟0.3ml；柱温为30℃；检测波长为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nm。理论板数按梓醇峰计算应不低于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5000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。</w:t>
      </w:r>
    </w:p>
    <w:p w14:paraId="39AF0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对照品溶液的制备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取梓醇对照品适量，精密称定，加流动相制成每1ml含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0.5mg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的溶液，即得。</w:t>
      </w:r>
    </w:p>
    <w:p w14:paraId="65F49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取本品适量，研细，取约0.1g，精密称定，置具塞锥形瓶中，精密加入60%甲醇25m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，称定重量，超声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处理（功率250W，频率40kHz）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，放冷，再称定重量，用60%甲醇补足减失的重量，摇匀，滤过，精密量取续滤液10m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，浓缩至近干，残渣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加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流动相溶解，转移至10m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量瓶中，加流动相至刻度，摇匀，滤过，取续滤液，即得。</w:t>
      </w:r>
    </w:p>
    <w:p w14:paraId="12F12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测定法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分别精密吸取对照品参照物溶液与供试品溶液各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μl，注入液相色谱仪，测定，即得。</w:t>
      </w:r>
    </w:p>
    <w:p w14:paraId="175F6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本品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1g含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梓醇（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）应为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30.0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mg~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60.0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mg。</w:t>
      </w:r>
    </w:p>
    <w:p w14:paraId="14572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地黄苷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D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照高效液相色谱法（中国药典20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年版通则0512）测定。</w:t>
      </w:r>
    </w:p>
    <w:p w14:paraId="65D74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以十八烷基硅烷键合硅胶为填充剂（柱长为100mm，内径为2.1mm，粒径为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1.8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μm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）；以乙腈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0.1%磷酸（5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95）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为流动相；流速为每分钟0.3ml；柱温为30℃；检测波长为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203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nm。理论板数按地黄苷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峰计算应不低于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5000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。</w:t>
      </w:r>
    </w:p>
    <w:p w14:paraId="65FEE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对照品溶液的制备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取地黄苷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对照品适量，精密称定，加流动相制成每1ml含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μg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的溶液，即得。</w:t>
      </w:r>
    </w:p>
    <w:p w14:paraId="675E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取本品适量，研细，取约0.1g，精密称定，置具塞锥形瓶中，精密加入60%甲醇25m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，称定重量，超声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处理（功率250W，频率40kHz）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，放冷，再称定重量，用60%甲醇补足减失的重量，摇匀，滤过，精密量取续滤液10m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，浓缩至近干，残渣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加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流动相溶解，转移至10m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量瓶中，加流动相至刻度，摇匀，滤过，取续滤液，即得。</w:t>
      </w:r>
    </w:p>
    <w:p w14:paraId="330E6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>测定法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分别精密吸取对照品参照物溶液与供试品溶液各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μl，注入液相色谱仪，测定，即得。</w:t>
      </w:r>
    </w:p>
    <w:p w14:paraId="70C83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本品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1g含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地黄苷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（C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eastAsia="zh-CN"/>
        </w:rPr>
        <w:t>27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eastAsia="zh-CN"/>
        </w:rPr>
        <w:t>42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vertAlign w:val="subscript"/>
          <w:lang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）应为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2.0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mg~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4.0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mg。</w:t>
      </w:r>
    </w:p>
    <w:p w14:paraId="53467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【规格】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每1g配方颗粒相当于饮片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5.0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g</w:t>
      </w:r>
      <w:bookmarkStart w:id="0" w:name="_GoBack"/>
      <w:bookmarkEnd w:id="0"/>
    </w:p>
    <w:p w14:paraId="0B749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eastAsia="zh-CN"/>
        </w:rPr>
        <w:t xml:space="preserve">【贮藏】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eastAsia="zh-CN"/>
        </w:rPr>
        <w:t>密封。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2A604E3"/>
    <w:rsid w:val="13EA2964"/>
    <w:rsid w:val="190D2937"/>
    <w:rsid w:val="28547A36"/>
    <w:rsid w:val="2CC31D69"/>
    <w:rsid w:val="3FD17C46"/>
    <w:rsid w:val="402B4AF5"/>
    <w:rsid w:val="422C0AEC"/>
    <w:rsid w:val="423B2931"/>
    <w:rsid w:val="44894F93"/>
    <w:rsid w:val="4846683E"/>
    <w:rsid w:val="4A941456"/>
    <w:rsid w:val="4B651B6D"/>
    <w:rsid w:val="4FAD35EB"/>
    <w:rsid w:val="52A85ABD"/>
    <w:rsid w:val="53735F67"/>
    <w:rsid w:val="69270DB5"/>
    <w:rsid w:val="69C74968"/>
    <w:rsid w:val="725C010B"/>
    <w:rsid w:val="72E94CCB"/>
    <w:rsid w:val="76AD2434"/>
    <w:rsid w:val="7CD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outlineLvl w:val="1"/>
    </w:pPr>
    <w:rPr>
      <w:rFonts w:ascii="Times New Roman" w:hAnsi="Times New Roman" w:cs="Times New Roman"/>
      <w:b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6">
    <w:name w:val="Table Grid"/>
    <w:basedOn w:val="5"/>
    <w:qFormat/>
    <w:uiPriority w:val="59"/>
    <w:pPr>
      <w:jc w:val="center"/>
    </w:pPr>
    <w:rPr>
      <w:sz w:val="18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bottom w:val="single" w:color="auto" w:sz="4" w:space="0"/>
        </w:tcBorders>
      </w:tcPr>
    </w:tblStylePr>
  </w:style>
  <w:style w:type="paragraph" w:customStyle="1" w:styleId="8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rFonts w:cs="Times New Roman"/>
      <w:iCs/>
      <w:color w:val="000000"/>
      <w:kern w:val="0"/>
      <w:sz w:val="18"/>
      <w:szCs w:val="20"/>
    </w:rPr>
  </w:style>
  <w:style w:type="paragraph" w:customStyle="1" w:styleId="9">
    <w:name w:val="样式2"/>
    <w:basedOn w:val="1"/>
    <w:qFormat/>
    <w:uiPriority w:val="0"/>
    <w:pPr>
      <w:ind w:firstLine="0" w:firstLineChars="0"/>
    </w:pPr>
    <w:rPr>
      <w:rFonts w:cs="Times New Roman"/>
      <w:kern w:val="0"/>
      <w:szCs w:val="20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customStyle="1" w:styleId="12">
    <w:name w:val="Table Paragraph"/>
    <w:basedOn w:val="1"/>
    <w:qFormat/>
    <w:uiPriority w:val="1"/>
    <w:pPr>
      <w:spacing w:before="16"/>
      <w:ind w:left="701" w:right="722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1965</Words>
  <Characters>2407</Characters>
  <Lines>0</Lines>
  <Paragraphs>0</Paragraphs>
  <TotalTime>5</TotalTime>
  <ScaleCrop>false</ScaleCrop>
  <LinksUpToDate>false</LinksUpToDate>
  <CharactersWithSpaces>2435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2024-09-13T10:16:07Z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52D63A4190EA455F9824379EE1FBBA42_13</vt:lpwstr>
  </property>
</Properties>
</file>